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7E5A6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E5A6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РФ от 06.02.2020 N 100</w:t>
            </w:r>
            <w:r>
              <w:rPr>
                <w:sz w:val="44"/>
                <w:szCs w:val="44"/>
              </w:rPr>
              <w:br/>
              <w:t>(ред. от 21.03.2022)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</w:t>
            </w:r>
            <w:r>
              <w:rPr>
                <w:sz w:val="44"/>
                <w:szCs w:val="44"/>
              </w:rPr>
              <w:t>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E5A6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E5A6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E5A66">
      <w:pPr>
        <w:pStyle w:val="ConsPlusNormal"/>
        <w:jc w:val="both"/>
        <w:outlineLvl w:val="0"/>
      </w:pPr>
    </w:p>
    <w:p w:rsidR="00000000" w:rsidRDefault="007E5A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E5A66">
      <w:pPr>
        <w:pStyle w:val="ConsPlusTitle"/>
        <w:jc w:val="center"/>
      </w:pPr>
    </w:p>
    <w:p w:rsidR="00000000" w:rsidRDefault="007E5A66">
      <w:pPr>
        <w:pStyle w:val="ConsPlusTitle"/>
        <w:jc w:val="center"/>
      </w:pPr>
      <w:r>
        <w:t>ПОСТАНОВЛЕНИЕ</w:t>
      </w:r>
    </w:p>
    <w:p w:rsidR="00000000" w:rsidRDefault="007E5A66">
      <w:pPr>
        <w:pStyle w:val="ConsPlusTitle"/>
        <w:jc w:val="center"/>
      </w:pPr>
      <w:r>
        <w:t>от 6 февраля 2020 г. N 100</w:t>
      </w:r>
    </w:p>
    <w:p w:rsidR="00000000" w:rsidRDefault="007E5A66">
      <w:pPr>
        <w:pStyle w:val="ConsPlusTitle"/>
        <w:jc w:val="center"/>
      </w:pPr>
    </w:p>
    <w:p w:rsidR="00000000" w:rsidRDefault="007E5A66">
      <w:pPr>
        <w:pStyle w:val="ConsPlusTitle"/>
        <w:jc w:val="center"/>
      </w:pPr>
      <w:r>
        <w:t>ОБ УТВЕРЖДЕНИИ ФЕДЕРАЛЬНОГО СТАНДАРТА</w:t>
      </w:r>
    </w:p>
    <w:p w:rsidR="00000000" w:rsidRDefault="007E5A6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7E5A66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00000" w:rsidRDefault="007E5A6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7E5A66">
      <w:pPr>
        <w:pStyle w:val="ConsPlusTitle"/>
        <w:jc w:val="center"/>
      </w:pPr>
      <w:r>
        <w:t>КОНТРОЛЯ И ОБЪЕКТОВ ВНУТРЕННЕГО ГОСУДАРСТВЕННОГО</w:t>
      </w:r>
    </w:p>
    <w:p w:rsidR="00000000" w:rsidRDefault="007E5A66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000000" w:rsidRDefault="007E5A66">
      <w:pPr>
        <w:pStyle w:val="ConsPlusTitle"/>
        <w:jc w:val="center"/>
      </w:pPr>
      <w:r>
        <w:t>ЛИЦ) ПРИ ОСУЩЕСТВЛЕНИИ ВНУТРЕННЕГО ГОСУДАРСТВЕННОГО</w:t>
      </w:r>
    </w:p>
    <w:p w:rsidR="00000000" w:rsidRDefault="007E5A66">
      <w:pPr>
        <w:pStyle w:val="ConsPlusTitle"/>
        <w:jc w:val="center"/>
      </w:pPr>
      <w:r>
        <w:t>(МУНИЦИПАЛЬНОГО) ФИНАНСОВОГО КОНТРОЛЯ"</w:t>
      </w:r>
    </w:p>
    <w:p w:rsidR="00000000" w:rsidRDefault="007E5A6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5A6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5A6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9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10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</w:t>
      </w:r>
      <w:hyperlink w:anchor="Par35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</w:t>
      </w:r>
      <w:r>
        <w:t>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 1 июля 2020 г.</w:t>
      </w: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jc w:val="right"/>
      </w:pPr>
      <w:r>
        <w:t>Председатель Правительства</w:t>
      </w:r>
    </w:p>
    <w:p w:rsidR="00000000" w:rsidRDefault="007E5A66">
      <w:pPr>
        <w:pStyle w:val="ConsPlusNormal"/>
        <w:jc w:val="right"/>
      </w:pPr>
      <w:r>
        <w:t>Российской Федерации</w:t>
      </w:r>
    </w:p>
    <w:p w:rsidR="00000000" w:rsidRDefault="007E5A66">
      <w:pPr>
        <w:pStyle w:val="ConsPlusNormal"/>
        <w:jc w:val="right"/>
      </w:pPr>
      <w:r>
        <w:t>М.МИШУСТИН</w:t>
      </w: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jc w:val="right"/>
        <w:outlineLvl w:val="0"/>
      </w:pPr>
      <w:r>
        <w:t>Утвержден</w:t>
      </w:r>
    </w:p>
    <w:p w:rsidR="00000000" w:rsidRDefault="007E5A66">
      <w:pPr>
        <w:pStyle w:val="ConsPlusNormal"/>
        <w:jc w:val="right"/>
      </w:pPr>
      <w:r>
        <w:t>постановлением Правительства</w:t>
      </w:r>
    </w:p>
    <w:p w:rsidR="00000000" w:rsidRDefault="007E5A66">
      <w:pPr>
        <w:pStyle w:val="ConsPlusNormal"/>
        <w:jc w:val="right"/>
      </w:pPr>
      <w:r>
        <w:t>Российской Федерации</w:t>
      </w:r>
    </w:p>
    <w:p w:rsidR="00000000" w:rsidRDefault="007E5A66">
      <w:pPr>
        <w:pStyle w:val="ConsPlusNormal"/>
        <w:jc w:val="right"/>
      </w:pPr>
      <w:r>
        <w:t>от 6 февраля 2020 г. N 100</w:t>
      </w:r>
    </w:p>
    <w:p w:rsidR="00000000" w:rsidRDefault="007E5A66">
      <w:pPr>
        <w:pStyle w:val="ConsPlusNormal"/>
        <w:jc w:val="center"/>
      </w:pPr>
    </w:p>
    <w:p w:rsidR="00000000" w:rsidRDefault="007E5A66">
      <w:pPr>
        <w:pStyle w:val="ConsPlusTitle"/>
        <w:jc w:val="center"/>
      </w:pPr>
      <w:bookmarkStart w:id="1" w:name="Par35"/>
      <w:bookmarkEnd w:id="1"/>
      <w:r>
        <w:t>ФЕДЕРАЛЬНЫЙ СТАНДАРТ</w:t>
      </w:r>
    </w:p>
    <w:p w:rsidR="00000000" w:rsidRDefault="007E5A66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000000" w:rsidRDefault="007E5A66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000000" w:rsidRDefault="007E5A66">
      <w:pPr>
        <w:pStyle w:val="ConsPlusTitle"/>
        <w:jc w:val="center"/>
      </w:pPr>
      <w:r>
        <w:t>ВНУТРЕННЕ</w:t>
      </w:r>
      <w:r>
        <w:t>ГО ГОСУДАРСТВЕННОГО (МУНИЦИПАЛЬНОГО) ФИНАНСОВОГО</w:t>
      </w:r>
    </w:p>
    <w:p w:rsidR="00000000" w:rsidRDefault="007E5A66">
      <w:pPr>
        <w:pStyle w:val="ConsPlusTitle"/>
        <w:jc w:val="center"/>
      </w:pPr>
      <w:r>
        <w:t>КОНТРОЛЯ И ОБЪЕКТОВ ВНУТРЕННЕГО ГОСУДАРСТВЕННОГО</w:t>
      </w:r>
    </w:p>
    <w:p w:rsidR="00000000" w:rsidRDefault="007E5A66">
      <w:pPr>
        <w:pStyle w:val="ConsPlusTitle"/>
        <w:jc w:val="center"/>
      </w:pPr>
      <w:r>
        <w:t>(МУНИЦИПАЛЬНОГО) ФИНАНСОВОГО КОНТРОЛЯ (ИХ ДОЛЖНОСТНЫХ</w:t>
      </w:r>
    </w:p>
    <w:p w:rsidR="00000000" w:rsidRDefault="007E5A66">
      <w:pPr>
        <w:pStyle w:val="ConsPlusTitle"/>
        <w:jc w:val="center"/>
      </w:pPr>
      <w:r>
        <w:t>ЛИЦ) ПРИ ОСУЩЕСТВЛЕНИИ ВНУТРЕННЕГО ГОСУДАРСТВЕННОГО</w:t>
      </w:r>
    </w:p>
    <w:p w:rsidR="00000000" w:rsidRDefault="007E5A66">
      <w:pPr>
        <w:pStyle w:val="ConsPlusTitle"/>
        <w:jc w:val="center"/>
      </w:pPr>
      <w:r>
        <w:t>(МУНИЦИПАЛЬНОГО) ФИНАНСОВОГО КОНТРОЛЯ"</w:t>
      </w:r>
    </w:p>
    <w:p w:rsidR="00000000" w:rsidRDefault="007E5A6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5A6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5A6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</w:t>
            </w:r>
            <w:r>
              <w:rPr>
                <w:color w:val="392C69"/>
              </w:rPr>
              <w:t>еняющих документов</w:t>
            </w:r>
          </w:p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13" w:history="1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</w:p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06.09.2021 </w:t>
            </w:r>
            <w:hyperlink r:id="rId14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5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E5A6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E5A66">
      <w:pPr>
        <w:pStyle w:val="ConsPlusNormal"/>
        <w:jc w:val="center"/>
      </w:pPr>
    </w:p>
    <w:p w:rsidR="00000000" w:rsidRDefault="007E5A66">
      <w:pPr>
        <w:pStyle w:val="ConsPlusTitle"/>
        <w:jc w:val="center"/>
        <w:outlineLvl w:val="1"/>
      </w:pPr>
      <w:r>
        <w:t>I. О</w:t>
      </w:r>
      <w:r>
        <w:t>бщие положения</w:t>
      </w: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  <w:r>
        <w:t>1. 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</w:t>
      </w:r>
      <w:r>
        <w:t>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</w:t>
      </w:r>
      <w:r>
        <w:t>ципального) финансового контроля и объектов внутреннего государственного (муниципального) финансового контроля (их должностных лиц) (далее соответственно - должностные лица органа контроля, органы контроля, объекты контроля).</w:t>
      </w:r>
    </w:p>
    <w:p w:rsidR="00000000" w:rsidRDefault="007E5A66">
      <w:pPr>
        <w:pStyle w:val="ConsPlusNormal"/>
        <w:jc w:val="center"/>
      </w:pPr>
    </w:p>
    <w:p w:rsidR="00000000" w:rsidRDefault="007E5A66">
      <w:pPr>
        <w:pStyle w:val="ConsPlusTitle"/>
        <w:jc w:val="center"/>
        <w:outlineLvl w:val="1"/>
      </w:pPr>
      <w:r>
        <w:t>II. Права и обязанности должн</w:t>
      </w:r>
      <w:r>
        <w:t>остных лиц органов контроля</w:t>
      </w: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а) руководитель органа контроля;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б) заместители руководителя органа контроля, к компетенции которых относятся вопросы осуществления внутреннего государственного (муниципального) финансового контроля;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в) руководители (заместители руководителей) структурных подразделений (территориальных ор</w:t>
      </w:r>
      <w:r>
        <w:t>ганов (при наличии) органа контроля, ответственные за осуществление контрольных мероприятий;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3. Должностные лица о</w:t>
      </w:r>
      <w:r>
        <w:t>ргана контроля имеют право: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</w:t>
      </w:r>
      <w:r>
        <w:t>е - контрольные мероприятия);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в) при осуществлении выездных проверок (ревизий, обследований), в том числе встречных проверок, пров</w:t>
      </w:r>
      <w:r>
        <w:t>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</w:t>
      </w:r>
      <w:r>
        <w:t>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000000" w:rsidRDefault="007E5A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</w:t>
      </w:r>
      <w:r>
        <w:t>х видов техники и приборов, в том числе измерительных приборов, с привлечением: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специалистов иных государственных (муниципальных) органов;</w:t>
      </w:r>
    </w:p>
    <w:p w:rsidR="00000000" w:rsidRDefault="007E5A6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специалистов учреждений, подведомственных органу контроля.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Под независимым экспертом (специализированной экспертной организацией) поним</w:t>
      </w:r>
      <w:r>
        <w:t>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</w:t>
      </w:r>
      <w:r>
        <w:t>ртизу на основе договора (контракта) с органом контроля;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</w:t>
      </w:r>
      <w:r>
        <w:t>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000000" w:rsidRDefault="007E5A6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</w:t>
      </w:r>
      <w:r>
        <w:t>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д) получать необходимый для осуществления внутреннего государственного (</w:t>
      </w:r>
      <w:r>
        <w:t>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</w:t>
      </w:r>
      <w:r>
        <w:t xml:space="preserve">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9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 xml:space="preserve">е) проводить (организовывать) </w:t>
      </w:r>
      <w:r>
        <w:t>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ж) запрашивать у органов госуд</w:t>
      </w:r>
      <w:r>
        <w:t>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</w:t>
      </w:r>
      <w:r>
        <w:t>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000000" w:rsidRDefault="007E5A66">
      <w:pPr>
        <w:pStyle w:val="ConsPlusNormal"/>
        <w:jc w:val="both"/>
      </w:pPr>
      <w:r>
        <w:t xml:space="preserve">(пп. "ж"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</w:t>
      </w:r>
      <w:r>
        <w:t>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</w:t>
      </w:r>
      <w: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000000" w:rsidRDefault="007E5A66">
      <w:pPr>
        <w:pStyle w:val="ConsPlusNormal"/>
        <w:jc w:val="both"/>
      </w:pPr>
      <w:r>
        <w:t xml:space="preserve">(пп. "з"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</w:t>
      </w:r>
      <w:r>
        <w:t xml:space="preserve">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</w:t>
      </w:r>
      <w:r>
        <w:t>доступа должностным лицам органа контроля к данным таких информационных систем.</w:t>
      </w:r>
    </w:p>
    <w:p w:rsidR="00000000" w:rsidRDefault="007E5A66">
      <w:pPr>
        <w:pStyle w:val="ConsPlusNormal"/>
        <w:jc w:val="both"/>
      </w:pPr>
      <w:r>
        <w:t xml:space="preserve">(пп. "и"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21.03.2022 N 42</w:t>
      </w:r>
      <w:r>
        <w:t>1)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4. Должностные лица органа контроля обязаны: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</w:t>
      </w:r>
      <w:r>
        <w:t>ествлению внутреннего государственного (муниципального) финансового контроля;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 xml:space="preserve">г) не совершать действий, </w:t>
      </w:r>
      <w:r>
        <w:t>направленных на воспрепятствование осуществлению деятельности объекта контроля при проведении контрольного мероприятия;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д) знакомить руководителя (представителя) объекта контроля с подлежащими направлению объекту контроля копиями документов органа контроля</w:t>
      </w:r>
      <w:r>
        <w:t>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</w:t>
      </w:r>
      <w:r>
        <w:t>ючениями);</w:t>
      </w:r>
    </w:p>
    <w:p w:rsidR="00000000" w:rsidRDefault="007E5A66">
      <w:pPr>
        <w:pStyle w:val="ConsPlusNormal"/>
        <w:jc w:val="both"/>
      </w:pPr>
      <w:r>
        <w:t xml:space="preserve">(пп. "д"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е) не препятствовать руководителю, должностном</w:t>
      </w:r>
      <w:r>
        <w:t>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</w:t>
      </w:r>
      <w:r>
        <w:t>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000000" w:rsidRDefault="007E5A6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</w:t>
      </w:r>
      <w:r>
        <w:t>тным законодательством Российской Федерации;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к) обращаться в суд с исковыми заявл</w:t>
      </w:r>
      <w:r>
        <w:t>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</w:t>
      </w:r>
      <w:r>
        <w:t>здействия), содержащего признаки состава преступления, и (или) документы и иные материалы, подтверждающие такой факт;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м) направлять в адрес государственного (муниципального) органа (должностного лица) в порядке, установленном законодательством Российской Ф</w:t>
      </w:r>
      <w:r>
        <w:t>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000000" w:rsidRDefault="007E5A6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000000" w:rsidRDefault="007E5A66">
      <w:pPr>
        <w:pStyle w:val="ConsPlusNormal"/>
        <w:spacing w:before="240"/>
        <w:ind w:firstLine="540"/>
        <w:jc w:val="both"/>
      </w:pPr>
      <w:bookmarkStart w:id="2" w:name="Par96"/>
      <w:bookmarkEnd w:id="2"/>
      <w:r>
        <w:t>5. Должностные лица органа контроля при привлечении независимого эксперта (работника спец</w:t>
      </w:r>
      <w:r>
        <w:t>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</w:t>
      </w:r>
      <w:r>
        <w:t>ний, подтверждающих наличие у специалиста специальных знаний, опыта, квалификации, необходимых для проведения экспертизы:</w:t>
      </w:r>
    </w:p>
    <w:p w:rsidR="00000000" w:rsidRDefault="007E5A6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31.12.2020 N 2435)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в) квалификационный аттестат, лицензи</w:t>
      </w:r>
      <w:r>
        <w:t>я или аккредитация, требуемые в области экспертизы;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 xml:space="preserve">е) </w:t>
      </w:r>
      <w:r>
        <w:t xml:space="preserve">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</w:t>
      </w:r>
      <w:r>
        <w:t>информационно-поисковых систем, баз данных;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000000" w:rsidRDefault="007E5A66">
      <w:pPr>
        <w:pStyle w:val="ConsPlusNormal"/>
        <w:spacing w:before="240"/>
        <w:ind w:firstLine="540"/>
        <w:jc w:val="both"/>
      </w:pPr>
      <w:bookmarkStart w:id="3" w:name="Par105"/>
      <w:bookmarkEnd w:id="3"/>
      <w:r>
        <w:t xml:space="preserve">6. Должностные лица органа контроля при привлечении специалиста обязаны провести проверку следующих обстоятельств, исключающих </w:t>
      </w:r>
      <w:r>
        <w:t>участие специалиста в контрольном мероприятии: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</w:t>
      </w:r>
      <w:r>
        <w:t>нтроля (его должностными лицами);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</w:t>
      </w:r>
      <w:r>
        <w:t>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 xml:space="preserve">7. В случае отсутствия одного из указанных в </w:t>
      </w:r>
      <w:hyperlink w:anchor="Par96" w:tooltip="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</w:t>
      </w:r>
      <w:r>
        <w:t xml:space="preserve">ыта, квалификации, и (или) выявления одного из указанных в </w:t>
      </w:r>
      <w:hyperlink w:anchor="Par105" w:tooltip="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</w:t>
      </w:r>
      <w:r>
        <w:t xml:space="preserve"> участия в контрольном мероприятии.</w:t>
      </w:r>
    </w:p>
    <w:p w:rsidR="00000000" w:rsidRDefault="007E5A66">
      <w:pPr>
        <w:pStyle w:val="ConsPlusNormal"/>
        <w:jc w:val="center"/>
      </w:pPr>
    </w:p>
    <w:p w:rsidR="00000000" w:rsidRDefault="007E5A66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000000" w:rsidRDefault="007E5A66">
      <w:pPr>
        <w:pStyle w:val="ConsPlusTitle"/>
        <w:jc w:val="center"/>
      </w:pPr>
      <w:r>
        <w:t>(их должностных лиц)</w:t>
      </w:r>
    </w:p>
    <w:p w:rsidR="00000000" w:rsidRDefault="007E5A66">
      <w:pPr>
        <w:pStyle w:val="ConsPlusNormal"/>
        <w:ind w:firstLine="540"/>
        <w:jc w:val="both"/>
      </w:pPr>
    </w:p>
    <w:p w:rsidR="00000000" w:rsidRDefault="007E5A66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</w:t>
      </w:r>
      <w:r>
        <w:t xml:space="preserve">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</w:t>
      </w:r>
      <w:r>
        <w:t>им изучению в ходе проведения контрольного мероприятия;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в) представл</w:t>
      </w:r>
      <w:r>
        <w:t>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000000" w:rsidRDefault="007E5A6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9. Объекты контроля (их должностные лица) обязаны: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б) д</w:t>
      </w:r>
      <w:r>
        <w:t>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</w:t>
      </w:r>
      <w:r>
        <w:t>атериалы, необходимые для проведения контрольных мероприятий;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</w:t>
      </w:r>
      <w:r>
        <w:t>туп к объектам экспертизы и исследования;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е) уведомлять должностных лиц,</w:t>
      </w:r>
      <w:r>
        <w:t xml:space="preserve"> принимающих участие в проведении контрольных мероприятий, о фото- и видеосъемке, звуко- и видеозаписи действий этих должностных лиц;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</w:t>
      </w:r>
      <w:r>
        <w:t>ератором которых является объект контроля;</w:t>
      </w:r>
    </w:p>
    <w:p w:rsidR="00000000" w:rsidRDefault="007E5A66">
      <w:pPr>
        <w:pStyle w:val="ConsPlusNormal"/>
        <w:spacing w:before="24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000000" w:rsidRDefault="007E5A66">
      <w:pPr>
        <w:pStyle w:val="ConsPlusNormal"/>
        <w:jc w:val="both"/>
      </w:pPr>
    </w:p>
    <w:p w:rsidR="00000000" w:rsidRDefault="007E5A66">
      <w:pPr>
        <w:pStyle w:val="ConsPlusNormal"/>
        <w:jc w:val="both"/>
      </w:pPr>
    </w:p>
    <w:p w:rsidR="00000000" w:rsidRDefault="007E5A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5A66">
      <w:pPr>
        <w:spacing w:after="0" w:line="240" w:lineRule="auto"/>
      </w:pPr>
      <w:r>
        <w:separator/>
      </w:r>
    </w:p>
  </w:endnote>
  <w:endnote w:type="continuationSeparator" w:id="0">
    <w:p w:rsidR="00000000" w:rsidRDefault="007E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E5A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5A6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5A6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5A6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E5A6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5A66">
      <w:pPr>
        <w:spacing w:after="0" w:line="240" w:lineRule="auto"/>
      </w:pPr>
      <w:r>
        <w:separator/>
      </w:r>
    </w:p>
  </w:footnote>
  <w:footnote w:type="continuationSeparator" w:id="0">
    <w:p w:rsidR="00000000" w:rsidRDefault="007E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5A6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06.02.2020 N 100</w:t>
          </w:r>
          <w:r>
            <w:rPr>
              <w:rFonts w:ascii="Tahoma" w:hAnsi="Tahoma" w:cs="Tahoma"/>
              <w:sz w:val="16"/>
              <w:szCs w:val="16"/>
            </w:rPr>
            <w:br/>
            <w:t>(ред. от 21.03.2022)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внутренне...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5A6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13.07.2023</w:t>
          </w:r>
        </w:p>
      </w:tc>
    </w:tr>
  </w:tbl>
  <w:p w:rsidR="00000000" w:rsidRDefault="007E5A6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5A6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A66"/>
    <w:rsid w:val="007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2E3F03B-5260-4891-AF6C-59DAD529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3627&amp;date=13.07.2023&amp;dst=100009&amp;field=134" TargetMode="External"/><Relationship Id="rId18" Type="http://schemas.openxmlformats.org/officeDocument/2006/relationships/hyperlink" Target="https://login.consultant.ru/link/?req=doc&amp;base=LAW&amp;n=373627&amp;date=13.07.2023&amp;dst=100012&amp;field=134" TargetMode="External"/><Relationship Id="rId26" Type="http://schemas.openxmlformats.org/officeDocument/2006/relationships/hyperlink" Target="https://login.consultant.ru/link/?req=doc&amp;base=LAW&amp;n=373627&amp;date=13.07.2023&amp;dst=100017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4872&amp;date=13.07.2023&amp;dst=10001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32230&amp;date=13.07.2023&amp;dst=5800&amp;field=134" TargetMode="External"/><Relationship Id="rId17" Type="http://schemas.openxmlformats.org/officeDocument/2006/relationships/hyperlink" Target="https://login.consultant.ru/link/?req=doc&amp;base=LAW&amp;n=373627&amp;date=13.07.2023&amp;dst=100011&amp;field=134" TargetMode="External"/><Relationship Id="rId25" Type="http://schemas.openxmlformats.org/officeDocument/2006/relationships/hyperlink" Target="https://login.consultant.ru/link/?req=doc&amp;base=LAW&amp;n=373627&amp;date=13.07.2023&amp;dst=10001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271&amp;date=13.07.2023&amp;dst=100011&amp;field=134" TargetMode="External"/><Relationship Id="rId20" Type="http://schemas.openxmlformats.org/officeDocument/2006/relationships/hyperlink" Target="https://login.consultant.ru/link/?req=doc&amp;base=LAW&amp;n=394872&amp;date=13.07.2023&amp;dst=100010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12271&amp;date=13.07.2023&amp;dst=100009&amp;field=134" TargetMode="External"/><Relationship Id="rId24" Type="http://schemas.openxmlformats.org/officeDocument/2006/relationships/hyperlink" Target="https://login.consultant.ru/link/?req=doc&amp;base=LAW&amp;n=412271&amp;date=13.07.2023&amp;dst=100014&amp;field=134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12271&amp;date=13.07.2023&amp;dst=100009&amp;field=134" TargetMode="External"/><Relationship Id="rId23" Type="http://schemas.openxmlformats.org/officeDocument/2006/relationships/hyperlink" Target="https://login.consultant.ru/link/?req=doc&amp;base=LAW&amp;n=373627&amp;date=13.07.2023&amp;dst=100014&amp;field=134" TargetMode="External"/><Relationship Id="rId28" Type="http://schemas.openxmlformats.org/officeDocument/2006/relationships/hyperlink" Target="https://login.consultant.ru/link/?req=doc&amp;base=LAW&amp;n=412271&amp;date=13.07.2023&amp;dst=100015&amp;field=134" TargetMode="External"/><Relationship Id="rId10" Type="http://schemas.openxmlformats.org/officeDocument/2006/relationships/hyperlink" Target="https://login.consultant.ru/link/?req=doc&amp;base=LAW&amp;n=394872&amp;date=13.07.2023&amp;dst=100010&amp;field=134" TargetMode="External"/><Relationship Id="rId19" Type="http://schemas.openxmlformats.org/officeDocument/2006/relationships/hyperlink" Target="https://login.consultant.ru/link/?req=doc&amp;base=LAW&amp;n=93980&amp;date=13.07.2023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3627&amp;date=13.07.2023&amp;dst=100009&amp;field=134" TargetMode="External"/><Relationship Id="rId14" Type="http://schemas.openxmlformats.org/officeDocument/2006/relationships/hyperlink" Target="https://login.consultant.ru/link/?req=doc&amp;base=LAW&amp;n=394872&amp;date=13.07.2023&amp;dst=100010&amp;field=134" TargetMode="External"/><Relationship Id="rId22" Type="http://schemas.openxmlformats.org/officeDocument/2006/relationships/hyperlink" Target="https://login.consultant.ru/link/?req=doc&amp;base=LAW&amp;n=412271&amp;date=13.07.2023&amp;dst=100012&amp;field=134" TargetMode="External"/><Relationship Id="rId27" Type="http://schemas.openxmlformats.org/officeDocument/2006/relationships/hyperlink" Target="https://login.consultant.ru/link/?req=doc&amp;base=LAW&amp;n=413281&amp;date=13.07.2023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3033</Words>
  <Characters>17294</Characters>
  <Application>Microsoft Office Word</Application>
  <DocSecurity>6</DocSecurity>
  <Lines>144</Lines>
  <Paragraphs>40</Paragraphs>
  <ScaleCrop>false</ScaleCrop>
  <Company>КонсультантПлюс Версия 4022.00.55</Company>
  <LinksUpToDate>false</LinksUpToDate>
  <CharactersWithSpaces>20287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06.02.2020 N 100(ред. от 21.03.2022)"Об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</dc:title>
  <dc:subject/>
  <dc:creator/>
  <cp:keywords/>
  <dc:description/>
  <cp:lastModifiedBy>word</cp:lastModifiedBy>
  <cp:revision>2</cp:revision>
  <dcterms:created xsi:type="dcterms:W3CDTF">2023-07-14T08:54:00Z</dcterms:created>
  <dcterms:modified xsi:type="dcterms:W3CDTF">2023-07-14T08:54:00Z</dcterms:modified>
</cp:coreProperties>
</file>